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Prekės pavadinimas kataloge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C055E">
              <w:rPr>
                <w:rFonts w:eastAsia="Calibri"/>
                <w:szCs w:val="24"/>
              </w:rPr>
              <w:t>Prekės pavadinimas, gamintojas, prekės kodas ar modelis</w:t>
            </w:r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605667F2" w:rsidR="00AC055E" w:rsidRPr="00312F9D" w:rsidRDefault="0059266A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Biliary</w:t>
            </w:r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l stent</w:t>
            </w:r>
            <w:r w:rsidR="00D37591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r w:rsidR="00B327F2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pseudo</w:t>
            </w:r>
            <w:r w:rsid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cyst</w:t>
            </w:r>
          </w:p>
        </w:tc>
        <w:tc>
          <w:tcPr>
            <w:tcW w:w="7938" w:type="dxa"/>
            <w:gridSpan w:val="2"/>
          </w:tcPr>
          <w:p w14:paraId="3893942A" w14:textId="3748B6A6" w:rsidR="00AC055E" w:rsidRPr="00C624B6" w:rsidRDefault="00DB2E51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r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Niti-S</w:t>
            </w:r>
            <w:r w:rsidR="00C624B6" w:rsidRPr="00C624B6">
              <w:rPr>
                <w:lang w:val="lt-LT"/>
              </w:rPr>
              <w:t xml:space="preserve"> </w:t>
            </w:r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Niti-S  NAGI stentai,Taewoong, kodų serija BsxxxxFW</w:t>
            </w:r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B458A">
              <w:rPr>
                <w:rFonts w:eastAsia="Calibri"/>
                <w:szCs w:val="24"/>
              </w:rPr>
              <w:t>Mokslinės publikacijos duomenys</w:t>
            </w:r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B458A">
              <w:rPr>
                <w:rFonts w:eastAsia="Calibri"/>
                <w:szCs w:val="24"/>
              </w:rPr>
              <w:t>Mokslinė publikacija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B458A">
              <w:rPr>
                <w:rFonts w:eastAsia="Calibri"/>
                <w:szCs w:val="24"/>
              </w:rPr>
              <w:t>Mokslinė publikacija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Medžiaga ir šaltiniai (ISI indeksą turintis mokslinis leidinys.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Nurodyti ISI indeksą tų metų, kuriais buvo išleista teikiama publikacija.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ISI indeksą sudaro Thomson Reuters (pasitikrinti pvz.: http://jcr.incites.thomsonreuters.com)</w:t>
            </w:r>
          </w:p>
        </w:tc>
        <w:tc>
          <w:tcPr>
            <w:tcW w:w="4678" w:type="dxa"/>
          </w:tcPr>
          <w:p w14:paraId="03DD7860" w14:textId="3BF1162B" w:rsidR="00AC055E" w:rsidRPr="00AB458A" w:rsidRDefault="00686049" w:rsidP="007449B3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>GASTROINTESTINAL ENDOSCOPY 2017/ Gastrointest Endosc. 2017 Jun;85(6):1243-1252.  Endoscopic "step-up approach" using a dedicated biflanged metal stent reduces the need for direct necrosectomy in walled-off necrosis (with videos).</w:t>
            </w:r>
          </w:p>
        </w:tc>
        <w:tc>
          <w:tcPr>
            <w:tcW w:w="3260" w:type="dxa"/>
          </w:tcPr>
          <w:p w14:paraId="682F16CA" w14:textId="77777777" w:rsidR="00686049" w:rsidRPr="00686049" w:rsidRDefault="00686049" w:rsidP="00686049">
            <w:pPr>
              <w:spacing w:after="0"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>ZEITSCHRIFT FUR GASTROENTEROLOGIE 2016 ISI 1.618</w:t>
            </w:r>
          </w:p>
          <w:p w14:paraId="625FBDDC" w14:textId="718A33FF" w:rsidR="00AC055E" w:rsidRPr="00AB458A" w:rsidRDefault="00686049" w:rsidP="00686049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>Z Gastroenterol. 2016 Jan;54(1):26-30. Endoscopic therapy for infected pancreatic necrosis using fully covered self-expandable metal stents: combination of transluminal necrosectomy, transluminal and percutaneous drainage.</w:t>
            </w:r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Mokslinės publikacijos autorius/-iai</w:t>
            </w:r>
          </w:p>
        </w:tc>
        <w:tc>
          <w:tcPr>
            <w:tcW w:w="4678" w:type="dxa"/>
          </w:tcPr>
          <w:p w14:paraId="1924CD55" w14:textId="4A911081" w:rsidR="00AC055E" w:rsidRPr="00AB458A" w:rsidRDefault="00686049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>Lakhtakia S1, Basha J1, Talukdar R1, Gupta R1, Nabi Z1, Ramchandani M1, Kumar BVN1, Pal P1, Kalpala R1, Reddy PM1, Pradeep R1, Singh JR1, Rao GV1, Reddy DN1.</w:t>
            </w:r>
          </w:p>
        </w:tc>
        <w:tc>
          <w:tcPr>
            <w:tcW w:w="3260" w:type="dxa"/>
          </w:tcPr>
          <w:p w14:paraId="33E6018F" w14:textId="73BE1B18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Albers D1, Toermer T1, Charton JP2, Neuhaus H2, Schumacher B1.</w:t>
            </w: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Mokslinio leidinio ISI indeksas</w:t>
            </w:r>
          </w:p>
        </w:tc>
        <w:tc>
          <w:tcPr>
            <w:tcW w:w="4678" w:type="dxa"/>
          </w:tcPr>
          <w:p w14:paraId="3B4413DF" w14:textId="34EBEFB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ISI 7.204</w:t>
            </w:r>
          </w:p>
        </w:tc>
        <w:tc>
          <w:tcPr>
            <w:tcW w:w="3260" w:type="dxa"/>
          </w:tcPr>
          <w:p w14:paraId="3DBB2B2D" w14:textId="19A013EC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ISI 1.618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populiacija</w:t>
            </w:r>
          </w:p>
        </w:tc>
        <w:tc>
          <w:tcPr>
            <w:tcW w:w="4678" w:type="dxa"/>
          </w:tcPr>
          <w:p w14:paraId="04169509" w14:textId="488742D9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200</w:t>
            </w:r>
          </w:p>
        </w:tc>
        <w:tc>
          <w:tcPr>
            <w:tcW w:w="3260" w:type="dxa"/>
          </w:tcPr>
          <w:p w14:paraId="71603F5A" w14:textId="0C6CE474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13</w:t>
            </w:r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rezultatai</w:t>
            </w:r>
          </w:p>
        </w:tc>
        <w:tc>
          <w:tcPr>
            <w:tcW w:w="4678" w:type="dxa"/>
          </w:tcPr>
          <w:p w14:paraId="6048D7DA" w14:textId="2E2DA45E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 xml:space="preserve">Two hundred five WON patients underwent EUS-guided drainage using BFMSs. Technical success was achieved in 203 patients (99%). Periprocedure adverse events occurred in 8 patients (bleeding in 6, perforation in 2). Clinical success with BFMSs alone was seen in 153 patients (74.6%). Reintervention adopting the step-up approach was required in 49 patients </w:t>
            </w:r>
            <w:r w:rsidRPr="003D5E91">
              <w:rPr>
                <w:rFonts w:eastAsia="Calibri"/>
                <w:szCs w:val="24"/>
                <w:lang w:val="fi-FI"/>
              </w:rPr>
              <w:lastRenderedPageBreak/>
              <w:t>(23.9%). Incremental success was achieved in 10 patients with step 1, 16 patients with step 2, and 19 patients with step 3. Overall clinical success was achieved in 198 patients (96.5%), with DEN required in 9.2%. Four patients failed treatment and required surgery (2) or percutaneous drainage (2).</w:t>
            </w:r>
          </w:p>
        </w:tc>
        <w:tc>
          <w:tcPr>
            <w:tcW w:w="3260" w:type="dxa"/>
          </w:tcPr>
          <w:p w14:paraId="658D9E3C" w14:textId="4160262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lastRenderedPageBreak/>
              <w:t xml:space="preserve">A sustained clinical success was achieved in 12 of 13 cases (CRP before therapy 23.5 ± 14.4 mg/L, after 3.1 ± 2.6 mg/lL). Discharge occurred after 2.5 ± 22.4 days. The self-expanding metal stent was extracted after 82.5 ± 56.6 </w:t>
            </w:r>
            <w:r w:rsidRPr="003D5E91">
              <w:rPr>
                <w:rFonts w:eastAsia="Calibri"/>
                <w:szCs w:val="24"/>
                <w:lang w:val="fi-FI"/>
              </w:rPr>
              <w:lastRenderedPageBreak/>
              <w:t>days. Mean follow up was 8.5 ± 5.9 months.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lastRenderedPageBreak/>
              <w:t>Tyrimo išvados</w:t>
            </w:r>
          </w:p>
        </w:tc>
        <w:tc>
          <w:tcPr>
            <w:tcW w:w="4678" w:type="dxa"/>
          </w:tcPr>
          <w:p w14:paraId="7B3BDEE8" w14:textId="0CBA4BD7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The endoscopic step-up approach using BFMSs was safe, effective, and yielded successful outcomes in most patients, reducing the need for DEN.</w:t>
            </w:r>
          </w:p>
        </w:tc>
        <w:tc>
          <w:tcPr>
            <w:tcW w:w="3260" w:type="dxa"/>
          </w:tcPr>
          <w:p w14:paraId="42E36431" w14:textId="369DFEF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Our concept of combining transluminal drainage, direct endoscopic necrosectomy and percutaneuos drainage offers a safe and reliable alternative to surgery, even in case of extended necrosis.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1E505E"/>
    <w:rsid w:val="00312F9D"/>
    <w:rsid w:val="003D5E91"/>
    <w:rsid w:val="004579F2"/>
    <w:rsid w:val="004F2703"/>
    <w:rsid w:val="0059266A"/>
    <w:rsid w:val="005D5001"/>
    <w:rsid w:val="00686049"/>
    <w:rsid w:val="006F0C1D"/>
    <w:rsid w:val="00712D4E"/>
    <w:rsid w:val="007449B3"/>
    <w:rsid w:val="00865408"/>
    <w:rsid w:val="008C67F3"/>
    <w:rsid w:val="008E45F9"/>
    <w:rsid w:val="009B7D28"/>
    <w:rsid w:val="00A2691F"/>
    <w:rsid w:val="00AC055E"/>
    <w:rsid w:val="00AE330F"/>
    <w:rsid w:val="00B327F2"/>
    <w:rsid w:val="00C624B6"/>
    <w:rsid w:val="00CD157F"/>
    <w:rsid w:val="00D37591"/>
    <w:rsid w:val="00DB2E51"/>
    <w:rsid w:val="00DB6F78"/>
    <w:rsid w:val="00E3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99BE1-C55E-554C-A9F5-9050B6036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25</cp:revision>
  <dcterms:created xsi:type="dcterms:W3CDTF">2022-02-13T22:43:00Z</dcterms:created>
  <dcterms:modified xsi:type="dcterms:W3CDTF">2023-03-28T07:26:00Z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